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7251" w14:textId="3E434DD0" w:rsidR="00B60108" w:rsidRPr="004D1519" w:rsidRDefault="00294965" w:rsidP="00346826">
      <w:pPr>
        <w:shd w:val="clear" w:color="auto" w:fill="A8D08D" w:themeFill="accent6" w:themeFillTint="99"/>
        <w:spacing w:before="120" w:after="240" w:line="360" w:lineRule="auto"/>
        <w:rPr>
          <w:rFonts w:cstheme="minorHAnsi"/>
          <w:b/>
          <w:bCs/>
        </w:rPr>
      </w:pPr>
      <w:r>
        <w:rPr>
          <w:rFonts w:cstheme="minorHAnsi"/>
          <w:b/>
          <w:bCs/>
        </w:rPr>
        <w:t>Whistleblowing Policy And Procedure</w:t>
      </w:r>
    </w:p>
    <w:p w14:paraId="35F63794" w14:textId="36AA0CD4" w:rsidR="00B60108" w:rsidRPr="00964F58" w:rsidRDefault="00B60108" w:rsidP="00346826">
      <w:pPr>
        <w:spacing w:before="120" w:after="240"/>
        <w:rPr>
          <w:rFonts w:cstheme="minorHAnsi"/>
          <w:sz w:val="16"/>
          <w:szCs w:val="16"/>
        </w:rPr>
      </w:pPr>
    </w:p>
    <w:p w14:paraId="217C2A57" w14:textId="77777777" w:rsidR="0082700C" w:rsidRPr="0082700C" w:rsidRDefault="0082700C" w:rsidP="00346826">
      <w:pPr>
        <w:shd w:val="clear" w:color="auto" w:fill="E2EFD9" w:themeFill="accent6" w:themeFillTint="33"/>
        <w:spacing w:before="120" w:after="240" w:line="360" w:lineRule="auto"/>
        <w:rPr>
          <w:rFonts w:cstheme="minorHAnsi"/>
          <w:b/>
          <w:bCs/>
        </w:rPr>
      </w:pPr>
      <w:r w:rsidRPr="0082700C">
        <w:rPr>
          <w:rFonts w:cstheme="minorHAnsi"/>
          <w:b/>
          <w:bCs/>
        </w:rPr>
        <w:t>1. Purpose</w:t>
      </w:r>
    </w:p>
    <w:p w14:paraId="13E1F8AE" w14:textId="77777777" w:rsidR="0082700C" w:rsidRPr="0082700C" w:rsidRDefault="0082700C" w:rsidP="00346826">
      <w:pPr>
        <w:spacing w:before="120" w:after="240"/>
        <w:rPr>
          <w:rFonts w:cstheme="minorHAnsi"/>
        </w:rPr>
      </w:pPr>
      <w:r w:rsidRPr="0082700C">
        <w:rPr>
          <w:rFonts w:cstheme="minorHAnsi"/>
        </w:rPr>
        <w:t>The Public Interest Disclosure Act 1998 came into force on 2 July 1999.  It is therefore necessary to have a policy to encourage staff to unburden grievance concerns without fear of discrimination.  The term “whistleblower” is used to describe a person, usually an employee, who becomes aware of a serious problem in the organisation and raises the matter so it may be investigated and if necessary corrected.  Sometimes this may involve bringing the problem to wider attention.  Early disclosure may give the employer the opportunity to rectify the problem.</w:t>
      </w:r>
    </w:p>
    <w:p w14:paraId="327B13BB" w14:textId="77777777" w:rsidR="0082700C" w:rsidRPr="0082700C" w:rsidRDefault="0082700C" w:rsidP="00346826">
      <w:pPr>
        <w:shd w:val="clear" w:color="auto" w:fill="E2EFD9" w:themeFill="accent6" w:themeFillTint="33"/>
        <w:spacing w:before="120" w:after="240" w:line="360" w:lineRule="auto"/>
        <w:rPr>
          <w:rFonts w:cstheme="minorHAnsi"/>
          <w:b/>
          <w:bCs/>
        </w:rPr>
      </w:pPr>
      <w:r w:rsidRPr="0082700C">
        <w:rPr>
          <w:rFonts w:cstheme="minorHAnsi"/>
          <w:b/>
          <w:bCs/>
        </w:rPr>
        <w:t>2. Persons affected</w:t>
      </w:r>
    </w:p>
    <w:p w14:paraId="356D7B1F" w14:textId="6DB1234A" w:rsidR="0082700C" w:rsidRPr="0082700C" w:rsidRDefault="0082700C" w:rsidP="00346826">
      <w:pPr>
        <w:pStyle w:val="ListParagraph"/>
        <w:numPr>
          <w:ilvl w:val="0"/>
          <w:numId w:val="21"/>
        </w:numPr>
        <w:spacing w:before="120" w:after="240"/>
        <w:rPr>
          <w:rFonts w:cstheme="minorHAnsi"/>
        </w:rPr>
      </w:pPr>
      <w:r w:rsidRPr="0082700C">
        <w:rPr>
          <w:rFonts w:cstheme="minorHAnsi"/>
        </w:rPr>
        <w:t>The Ethnic Food Bank Staff</w:t>
      </w:r>
      <w:r w:rsidR="00346826">
        <w:rPr>
          <w:rFonts w:cstheme="minorHAnsi"/>
        </w:rPr>
        <w:t xml:space="preserve"> including </w:t>
      </w:r>
      <w:r w:rsidRPr="0082700C">
        <w:rPr>
          <w:rFonts w:cstheme="minorHAnsi"/>
        </w:rPr>
        <w:t>volunteers</w:t>
      </w:r>
    </w:p>
    <w:p w14:paraId="14583523" w14:textId="35654696" w:rsidR="0082700C" w:rsidRPr="0082700C" w:rsidRDefault="0082700C" w:rsidP="00346826">
      <w:pPr>
        <w:pStyle w:val="ListParagraph"/>
        <w:numPr>
          <w:ilvl w:val="0"/>
          <w:numId w:val="21"/>
        </w:numPr>
        <w:spacing w:before="120" w:after="240"/>
        <w:rPr>
          <w:rFonts w:cstheme="minorHAnsi"/>
        </w:rPr>
      </w:pPr>
      <w:r w:rsidRPr="0082700C">
        <w:rPr>
          <w:rFonts w:cstheme="minorHAnsi"/>
        </w:rPr>
        <w:t xml:space="preserve">Service users of </w:t>
      </w:r>
      <w:r w:rsidR="00346826">
        <w:rPr>
          <w:rFonts w:cstheme="minorHAnsi"/>
        </w:rPr>
        <w:t>t</w:t>
      </w:r>
      <w:r w:rsidRPr="0082700C">
        <w:rPr>
          <w:rFonts w:cstheme="minorHAnsi"/>
        </w:rPr>
        <w:t>he Ethnic Food Bank</w:t>
      </w:r>
    </w:p>
    <w:p w14:paraId="41A20589" w14:textId="77777777" w:rsidR="0082700C" w:rsidRPr="0082700C" w:rsidRDefault="0082700C" w:rsidP="00346826">
      <w:pPr>
        <w:shd w:val="clear" w:color="auto" w:fill="E2EFD9" w:themeFill="accent6" w:themeFillTint="33"/>
        <w:spacing w:before="120" w:after="240" w:line="360" w:lineRule="auto"/>
        <w:rPr>
          <w:rFonts w:cstheme="minorHAnsi"/>
          <w:b/>
          <w:bCs/>
        </w:rPr>
      </w:pPr>
      <w:r w:rsidRPr="0082700C">
        <w:rPr>
          <w:rFonts w:cstheme="minorHAnsi"/>
          <w:b/>
          <w:bCs/>
        </w:rPr>
        <w:t>3. Policy</w:t>
      </w:r>
    </w:p>
    <w:p w14:paraId="4D6E86E0" w14:textId="77777777" w:rsidR="0082700C" w:rsidRPr="0082700C" w:rsidRDefault="0082700C" w:rsidP="00346826">
      <w:pPr>
        <w:spacing w:before="120" w:after="240"/>
        <w:rPr>
          <w:rFonts w:cstheme="minorHAnsi"/>
        </w:rPr>
      </w:pPr>
      <w:r w:rsidRPr="0082700C">
        <w:rPr>
          <w:rFonts w:cstheme="minorHAnsi"/>
        </w:rPr>
        <w:t>The Ethnic Food Bank is committed to the highest standards of quality, openness and accountability.  This manifests itself through team meetings, regular one to one’s between line managers and staff, complaints procedure, disciplinary and grievance procedures etc.  As part of that commitment, we encourage all staff and others with serious concerns about any aspect of the work to come forward and express their concerns.  In many cases, concerns or complaints will be dealt with through the procedures mentioned.</w:t>
      </w:r>
    </w:p>
    <w:p w14:paraId="3E6F1A4F" w14:textId="77777777" w:rsidR="0082700C" w:rsidRPr="0082700C" w:rsidRDefault="0082700C" w:rsidP="00346826">
      <w:pPr>
        <w:shd w:val="clear" w:color="auto" w:fill="E2EFD9" w:themeFill="accent6" w:themeFillTint="33"/>
        <w:spacing w:before="120" w:after="240" w:line="360" w:lineRule="auto"/>
        <w:rPr>
          <w:rFonts w:cstheme="minorHAnsi"/>
          <w:b/>
          <w:bCs/>
        </w:rPr>
      </w:pPr>
      <w:r w:rsidRPr="0082700C">
        <w:rPr>
          <w:rFonts w:cstheme="minorHAnsi"/>
          <w:b/>
          <w:bCs/>
        </w:rPr>
        <w:t>4. Procedure</w:t>
      </w:r>
    </w:p>
    <w:p w14:paraId="0B2BC1E6" w14:textId="77777777" w:rsidR="0082700C" w:rsidRPr="0082700C" w:rsidRDefault="0082700C" w:rsidP="00346826">
      <w:pPr>
        <w:spacing w:before="120" w:after="240"/>
        <w:rPr>
          <w:rFonts w:cstheme="minorHAnsi"/>
        </w:rPr>
      </w:pPr>
      <w:r w:rsidRPr="0082700C">
        <w:rPr>
          <w:rFonts w:cstheme="minorHAnsi"/>
        </w:rPr>
        <w:t>The following procedures are proposed to make provision for anyone to disclose information of suspected malpractice within The Ethnic Food Bank on a confidential basis and to be protected against victimisation or dismissal.</w:t>
      </w:r>
    </w:p>
    <w:p w14:paraId="0F139971" w14:textId="77777777" w:rsidR="0082700C" w:rsidRPr="0082700C" w:rsidRDefault="0082700C" w:rsidP="00346826">
      <w:pPr>
        <w:spacing w:before="120" w:after="240"/>
        <w:rPr>
          <w:rFonts w:cstheme="minorHAnsi"/>
        </w:rPr>
      </w:pPr>
      <w:r w:rsidRPr="0082700C">
        <w:rPr>
          <w:rFonts w:cstheme="minorHAnsi"/>
        </w:rPr>
        <w:t>The openness and accountability to which we commit to relates to any concerns regarding any of the following:</w:t>
      </w:r>
    </w:p>
    <w:p w14:paraId="50CD41C4" w14:textId="4DB2894B" w:rsidR="0082700C" w:rsidRPr="0082700C" w:rsidRDefault="0082700C" w:rsidP="00346826">
      <w:pPr>
        <w:pStyle w:val="ListParagraph"/>
        <w:numPr>
          <w:ilvl w:val="0"/>
          <w:numId w:val="24"/>
        </w:numPr>
        <w:spacing w:before="120" w:after="240"/>
        <w:ind w:left="851" w:hanging="284"/>
      </w:pPr>
      <w:r w:rsidRPr="0082700C">
        <w:t>A criminal offence</w:t>
      </w:r>
    </w:p>
    <w:p w14:paraId="6D60D7D7" w14:textId="453A4E81" w:rsidR="0082700C" w:rsidRPr="0082700C" w:rsidRDefault="0082700C" w:rsidP="00346826">
      <w:pPr>
        <w:pStyle w:val="ListParagraph"/>
        <w:numPr>
          <w:ilvl w:val="0"/>
          <w:numId w:val="24"/>
        </w:numPr>
        <w:spacing w:before="120" w:after="240"/>
        <w:ind w:left="851" w:hanging="284"/>
      </w:pPr>
      <w:r w:rsidRPr="0082700C">
        <w:t>Financial frauds, money laundering and malpractice</w:t>
      </w:r>
    </w:p>
    <w:p w14:paraId="37453291" w14:textId="7AF7576B" w:rsidR="0082700C" w:rsidRPr="0082700C" w:rsidRDefault="0082700C" w:rsidP="00346826">
      <w:pPr>
        <w:pStyle w:val="ListParagraph"/>
        <w:numPr>
          <w:ilvl w:val="0"/>
          <w:numId w:val="24"/>
        </w:numPr>
        <w:spacing w:before="120" w:after="240"/>
        <w:ind w:left="851" w:hanging="284"/>
      </w:pPr>
      <w:r w:rsidRPr="0082700C">
        <w:t>Other types of corruption</w:t>
      </w:r>
    </w:p>
    <w:p w14:paraId="74B1A809" w14:textId="6A696AA8" w:rsidR="0082700C" w:rsidRPr="0082700C" w:rsidRDefault="0082700C" w:rsidP="00346826">
      <w:pPr>
        <w:pStyle w:val="ListParagraph"/>
        <w:numPr>
          <w:ilvl w:val="0"/>
          <w:numId w:val="24"/>
        </w:numPr>
        <w:spacing w:before="120" w:after="240"/>
        <w:ind w:left="851" w:hanging="284"/>
      </w:pPr>
      <w:r w:rsidRPr="0082700C">
        <w:t>Attempts to deliberately cover up information</w:t>
      </w:r>
    </w:p>
    <w:p w14:paraId="5E88466C" w14:textId="5EBDA959" w:rsidR="0082700C" w:rsidRPr="0082700C" w:rsidRDefault="0082700C" w:rsidP="00346826">
      <w:pPr>
        <w:pStyle w:val="ListParagraph"/>
        <w:numPr>
          <w:ilvl w:val="0"/>
          <w:numId w:val="24"/>
        </w:numPr>
        <w:spacing w:before="120" w:after="240"/>
        <w:ind w:left="851" w:hanging="284"/>
      </w:pPr>
      <w:r w:rsidRPr="0082700C">
        <w:t>Abuse or neglect of vulnerable people</w:t>
      </w:r>
    </w:p>
    <w:p w14:paraId="2D027F78" w14:textId="6E3186D8" w:rsidR="0082700C" w:rsidRPr="0082700C" w:rsidRDefault="0082700C" w:rsidP="00346826">
      <w:pPr>
        <w:pStyle w:val="ListParagraph"/>
        <w:numPr>
          <w:ilvl w:val="0"/>
          <w:numId w:val="24"/>
        </w:numPr>
        <w:spacing w:before="120" w:after="240"/>
        <w:ind w:left="851" w:hanging="284"/>
      </w:pPr>
      <w:r w:rsidRPr="0082700C">
        <w:t>Damage to the environment</w:t>
      </w:r>
    </w:p>
    <w:p w14:paraId="53E0D717" w14:textId="7489E285" w:rsidR="0082700C" w:rsidRPr="0082700C" w:rsidRDefault="0082700C" w:rsidP="00346826">
      <w:pPr>
        <w:pStyle w:val="ListParagraph"/>
        <w:numPr>
          <w:ilvl w:val="0"/>
          <w:numId w:val="24"/>
        </w:numPr>
        <w:spacing w:before="120" w:after="240"/>
        <w:ind w:left="851" w:hanging="284"/>
      </w:pPr>
      <w:r w:rsidRPr="0082700C">
        <w:t>Failure to deliver proper standards of service</w:t>
      </w:r>
    </w:p>
    <w:p w14:paraId="73A8658B" w14:textId="5BFC219B" w:rsidR="0082700C" w:rsidRPr="0082700C" w:rsidRDefault="0082700C" w:rsidP="00346826">
      <w:pPr>
        <w:pStyle w:val="ListParagraph"/>
        <w:numPr>
          <w:ilvl w:val="0"/>
          <w:numId w:val="24"/>
        </w:numPr>
        <w:spacing w:before="120" w:after="240"/>
        <w:ind w:left="851" w:hanging="284"/>
      </w:pPr>
      <w:r w:rsidRPr="0082700C">
        <w:t>Damaging personal conflicts at senior level</w:t>
      </w:r>
    </w:p>
    <w:p w14:paraId="1E4C7DAF" w14:textId="5769F884" w:rsidR="0082700C" w:rsidRPr="0082700C" w:rsidRDefault="0082700C" w:rsidP="00346826">
      <w:pPr>
        <w:pStyle w:val="ListParagraph"/>
        <w:numPr>
          <w:ilvl w:val="0"/>
          <w:numId w:val="24"/>
        </w:numPr>
        <w:spacing w:before="120" w:after="240"/>
        <w:ind w:left="851" w:hanging="284"/>
      </w:pPr>
      <w:r w:rsidRPr="0082700C">
        <w:t>Bullying, harassment or victimisation in the work place</w:t>
      </w:r>
    </w:p>
    <w:p w14:paraId="777E6389" w14:textId="74B7B7BB" w:rsidR="0082700C" w:rsidRPr="0082700C" w:rsidRDefault="0082700C" w:rsidP="00346826">
      <w:pPr>
        <w:pStyle w:val="ListParagraph"/>
        <w:numPr>
          <w:ilvl w:val="0"/>
          <w:numId w:val="24"/>
        </w:numPr>
        <w:spacing w:before="120" w:after="240"/>
        <w:ind w:left="851" w:hanging="284"/>
      </w:pPr>
      <w:r w:rsidRPr="0082700C">
        <w:lastRenderedPageBreak/>
        <w:t>Breach of a legal obligation</w:t>
      </w:r>
    </w:p>
    <w:p w14:paraId="46BD6B1E" w14:textId="02A15154" w:rsidR="0082700C" w:rsidRPr="0082700C" w:rsidRDefault="0082700C" w:rsidP="00346826">
      <w:pPr>
        <w:pStyle w:val="ListParagraph"/>
        <w:numPr>
          <w:ilvl w:val="0"/>
          <w:numId w:val="24"/>
        </w:numPr>
        <w:spacing w:before="120" w:after="240"/>
        <w:ind w:left="851" w:hanging="284"/>
      </w:pPr>
      <w:r w:rsidRPr="0082700C">
        <w:t>Danger to health or safely of an individual</w:t>
      </w:r>
    </w:p>
    <w:p w14:paraId="26AE082B" w14:textId="77777777" w:rsidR="00964F58" w:rsidRDefault="0082700C" w:rsidP="00346826">
      <w:pPr>
        <w:pStyle w:val="ListParagraph"/>
        <w:numPr>
          <w:ilvl w:val="0"/>
          <w:numId w:val="24"/>
        </w:numPr>
        <w:spacing w:before="120" w:after="240"/>
        <w:ind w:left="851" w:hanging="284"/>
      </w:pPr>
      <w:r w:rsidRPr="0082700C">
        <w:t>Terrorist activity</w:t>
      </w:r>
    </w:p>
    <w:p w14:paraId="08DC0CAA" w14:textId="44345502" w:rsidR="0082700C" w:rsidRPr="00964F58" w:rsidRDefault="0082700C" w:rsidP="00346826">
      <w:pPr>
        <w:spacing w:before="120" w:after="240"/>
      </w:pPr>
      <w:r w:rsidRPr="00964F58">
        <w:rPr>
          <w:rFonts w:cstheme="minorHAnsi"/>
        </w:rPr>
        <w:t>Concerns should be reported at an early stage before problems have a chance to become serious.  We will support concerned employees and protect them from reprisals or victimisation.  Confidentiality will be respected.</w:t>
      </w:r>
    </w:p>
    <w:p w14:paraId="023A9DD7" w14:textId="77777777" w:rsidR="0082700C" w:rsidRPr="0082700C" w:rsidRDefault="0082700C" w:rsidP="00346826">
      <w:pPr>
        <w:spacing w:before="120" w:after="240"/>
        <w:rPr>
          <w:rFonts w:cstheme="minorHAnsi"/>
        </w:rPr>
      </w:pPr>
      <w:r w:rsidRPr="0082700C">
        <w:rPr>
          <w:rFonts w:cstheme="minorHAnsi"/>
        </w:rPr>
        <w:t>Anyone found trying to discourage a concerned employee from coming forward to express a concern will be subject to disciplinary action.  In the same way, anyone criticising or victimising an employee as a result of a concern being expressed will also face disciplinary action.</w:t>
      </w:r>
    </w:p>
    <w:p w14:paraId="4F5E7D21" w14:textId="77777777" w:rsidR="0082700C" w:rsidRPr="00964F58" w:rsidRDefault="0082700C" w:rsidP="00346826">
      <w:pPr>
        <w:spacing w:before="120" w:after="240"/>
        <w:rPr>
          <w:rFonts w:cstheme="minorHAnsi"/>
          <w:b/>
          <w:bCs/>
        </w:rPr>
      </w:pPr>
      <w:r w:rsidRPr="00964F58">
        <w:rPr>
          <w:rFonts w:cstheme="minorHAnsi"/>
          <w:b/>
          <w:bCs/>
        </w:rPr>
        <w:t>Who to Contact</w:t>
      </w:r>
    </w:p>
    <w:p w14:paraId="6B9796AD" w14:textId="77777777" w:rsidR="0082700C" w:rsidRPr="0082700C" w:rsidRDefault="0082700C" w:rsidP="00346826">
      <w:pPr>
        <w:spacing w:before="120" w:after="240"/>
        <w:rPr>
          <w:rFonts w:cstheme="minorHAnsi"/>
        </w:rPr>
      </w:pPr>
      <w:r w:rsidRPr="0082700C">
        <w:rPr>
          <w:rFonts w:cstheme="minorHAnsi"/>
        </w:rPr>
        <w:t>In the first instance, anyone wishing to report a concern should do so, in confidence, with their Line Manager.  If for some reason this is not possible, then another Line Manager or the Chair person.</w:t>
      </w:r>
    </w:p>
    <w:p w14:paraId="0B2F79FA" w14:textId="77777777" w:rsidR="0082700C" w:rsidRPr="0082700C" w:rsidRDefault="0082700C" w:rsidP="00346826">
      <w:pPr>
        <w:spacing w:before="120" w:after="240"/>
        <w:rPr>
          <w:rFonts w:cstheme="minorHAnsi"/>
        </w:rPr>
      </w:pPr>
      <w:r w:rsidRPr="0082700C">
        <w:rPr>
          <w:rFonts w:cstheme="minorHAnsi"/>
        </w:rPr>
        <w:t>If anyone wishes to seek advice or clarification before reporting any matter they should see the Chair person.</w:t>
      </w:r>
    </w:p>
    <w:p w14:paraId="095C6178" w14:textId="77777777" w:rsidR="0082700C" w:rsidRPr="0082700C" w:rsidRDefault="0082700C" w:rsidP="00346826">
      <w:pPr>
        <w:spacing w:before="120" w:after="240"/>
        <w:rPr>
          <w:rFonts w:cstheme="minorHAnsi"/>
        </w:rPr>
      </w:pPr>
      <w:r w:rsidRPr="0082700C">
        <w:rPr>
          <w:rFonts w:cstheme="minorHAnsi"/>
        </w:rPr>
        <w:t>If policy and procedures within the organisation are working properly there should be no need for contact to be with an external agency to express concerns.  However, if these internal procedures have been exhausted, then the concerns may be reported as follows:</w:t>
      </w:r>
    </w:p>
    <w:p w14:paraId="6D1DF9B0" w14:textId="77777777" w:rsidR="0082700C" w:rsidRPr="0082700C" w:rsidRDefault="0082700C" w:rsidP="00346826">
      <w:pPr>
        <w:spacing w:before="120" w:after="240"/>
        <w:rPr>
          <w:rFonts w:cstheme="minorHAnsi"/>
        </w:rPr>
      </w:pPr>
      <w:r w:rsidRPr="0082700C">
        <w:rPr>
          <w:rFonts w:cstheme="minorHAnsi"/>
        </w:rPr>
        <w:t>If the problem involved a very senior member of staff of the Ethnic Food Bank - contact the other founders or another Trustee.</w:t>
      </w:r>
    </w:p>
    <w:p w14:paraId="601B3001" w14:textId="77777777" w:rsidR="0082700C" w:rsidRPr="0082700C" w:rsidRDefault="0082700C" w:rsidP="00346826">
      <w:pPr>
        <w:spacing w:before="120" w:after="240"/>
        <w:rPr>
          <w:rFonts w:cstheme="minorHAnsi"/>
        </w:rPr>
      </w:pPr>
      <w:r w:rsidRPr="0082700C">
        <w:rPr>
          <w:rFonts w:cstheme="minorHAnsi"/>
        </w:rPr>
        <w:t xml:space="preserve">In the case of abuse of vulnerable people – also refer to your safeguarding reporting procedures </w:t>
      </w:r>
    </w:p>
    <w:p w14:paraId="38B53D1A" w14:textId="77777777" w:rsidR="0082700C" w:rsidRPr="0082700C" w:rsidRDefault="0082700C" w:rsidP="00346826">
      <w:pPr>
        <w:spacing w:before="120" w:after="240"/>
        <w:rPr>
          <w:rFonts w:cstheme="minorHAnsi"/>
        </w:rPr>
      </w:pPr>
      <w:r w:rsidRPr="0082700C">
        <w:rPr>
          <w:rFonts w:cstheme="minorHAnsi"/>
        </w:rPr>
        <w:t>The Charity Commission: You can report things that have happened, are happening or are likely to happen. Only report issues to us that could seriously harm:</w:t>
      </w:r>
    </w:p>
    <w:p w14:paraId="1BF5D794" w14:textId="216EB5F5" w:rsidR="0082700C" w:rsidRPr="00964F58" w:rsidRDefault="0082700C" w:rsidP="00346826">
      <w:pPr>
        <w:pStyle w:val="ListParagraph"/>
        <w:numPr>
          <w:ilvl w:val="0"/>
          <w:numId w:val="24"/>
        </w:numPr>
        <w:spacing w:before="120" w:after="240"/>
        <w:ind w:left="851" w:hanging="284"/>
      </w:pPr>
      <w:r w:rsidRPr="00964F58">
        <w:t>the people a charity helps</w:t>
      </w:r>
    </w:p>
    <w:p w14:paraId="415C0708" w14:textId="36323D29" w:rsidR="0082700C" w:rsidRPr="00964F58" w:rsidRDefault="0082700C" w:rsidP="00346826">
      <w:pPr>
        <w:pStyle w:val="ListParagraph"/>
        <w:numPr>
          <w:ilvl w:val="0"/>
          <w:numId w:val="24"/>
        </w:numPr>
        <w:spacing w:before="120" w:after="240"/>
        <w:ind w:left="851" w:hanging="284"/>
      </w:pPr>
      <w:r w:rsidRPr="00964F58">
        <w:t>the charity’s staff or volunteers</w:t>
      </w:r>
    </w:p>
    <w:p w14:paraId="02869594" w14:textId="6D930306" w:rsidR="0082700C" w:rsidRPr="00964F58" w:rsidRDefault="0082700C" w:rsidP="00346826">
      <w:pPr>
        <w:pStyle w:val="ListParagraph"/>
        <w:numPr>
          <w:ilvl w:val="0"/>
          <w:numId w:val="24"/>
        </w:numPr>
        <w:spacing w:before="120" w:after="240"/>
        <w:ind w:left="851" w:hanging="284"/>
      </w:pPr>
      <w:r w:rsidRPr="00964F58">
        <w:t>services the charity provides</w:t>
      </w:r>
    </w:p>
    <w:p w14:paraId="0024EFD0" w14:textId="2AB66A6A" w:rsidR="0082700C" w:rsidRPr="00964F58" w:rsidRDefault="0082700C" w:rsidP="00346826">
      <w:pPr>
        <w:pStyle w:val="ListParagraph"/>
        <w:numPr>
          <w:ilvl w:val="0"/>
          <w:numId w:val="24"/>
        </w:numPr>
        <w:spacing w:before="120" w:after="240"/>
        <w:ind w:left="851" w:hanging="284"/>
      </w:pPr>
      <w:r w:rsidRPr="00964F58">
        <w:t>the charity’s assets</w:t>
      </w:r>
    </w:p>
    <w:p w14:paraId="2410B604" w14:textId="2E4E638F" w:rsidR="0082700C" w:rsidRPr="00964F58" w:rsidRDefault="0082700C" w:rsidP="00346826">
      <w:pPr>
        <w:pStyle w:val="ListParagraph"/>
        <w:numPr>
          <w:ilvl w:val="0"/>
          <w:numId w:val="24"/>
        </w:numPr>
        <w:spacing w:before="120" w:after="240"/>
        <w:ind w:left="851" w:hanging="284"/>
      </w:pPr>
      <w:r w:rsidRPr="00964F58">
        <w:t>the charity’s reputation</w:t>
      </w:r>
    </w:p>
    <w:p w14:paraId="30236B73" w14:textId="77777777" w:rsidR="0082700C" w:rsidRPr="0082700C" w:rsidRDefault="0082700C" w:rsidP="00346826">
      <w:pPr>
        <w:spacing w:before="120" w:after="240"/>
        <w:rPr>
          <w:rFonts w:cstheme="minorHAnsi"/>
        </w:rPr>
      </w:pPr>
      <w:r w:rsidRPr="0082700C">
        <w:rPr>
          <w:rFonts w:cstheme="minorHAnsi"/>
        </w:rPr>
        <w:t>Examples of serious harm include:</w:t>
      </w:r>
    </w:p>
    <w:p w14:paraId="59DDE69B" w14:textId="0473FA9F" w:rsidR="0082700C" w:rsidRPr="00964F58" w:rsidRDefault="0082700C" w:rsidP="00346826">
      <w:pPr>
        <w:pStyle w:val="ListParagraph"/>
        <w:numPr>
          <w:ilvl w:val="0"/>
          <w:numId w:val="24"/>
        </w:numPr>
        <w:spacing w:before="120" w:after="240"/>
        <w:ind w:left="851" w:hanging="284"/>
      </w:pPr>
      <w:r w:rsidRPr="00964F58">
        <w:t>if someone’s health or safety is in danger, for example if a charity does not use its safeguarding policy</w:t>
      </w:r>
    </w:p>
    <w:p w14:paraId="30E49B41" w14:textId="0955BD77" w:rsidR="0082700C" w:rsidRPr="00964F58" w:rsidRDefault="0082700C" w:rsidP="00346826">
      <w:pPr>
        <w:pStyle w:val="ListParagraph"/>
        <w:numPr>
          <w:ilvl w:val="0"/>
          <w:numId w:val="24"/>
        </w:numPr>
        <w:spacing w:before="120" w:after="240"/>
        <w:ind w:left="851" w:hanging="284"/>
      </w:pPr>
      <w:r w:rsidRPr="00964F58">
        <w:t>a criminal offence, for example theft, fraud or financial mismanagement</w:t>
      </w:r>
    </w:p>
    <w:p w14:paraId="4D24E960" w14:textId="3D4C5C72" w:rsidR="0082700C" w:rsidRPr="00964F58" w:rsidRDefault="0082700C" w:rsidP="00346826">
      <w:pPr>
        <w:pStyle w:val="ListParagraph"/>
        <w:numPr>
          <w:ilvl w:val="0"/>
          <w:numId w:val="24"/>
        </w:numPr>
        <w:spacing w:before="120" w:after="240"/>
        <w:ind w:left="851" w:hanging="284"/>
      </w:pPr>
      <w:r w:rsidRPr="00964F58">
        <w:t>if a charity uses its activities as a platform for extremist views or materials</w:t>
      </w:r>
    </w:p>
    <w:p w14:paraId="1C19DCC5" w14:textId="7BE21B52" w:rsidR="0082700C" w:rsidRPr="00964F58" w:rsidRDefault="0082700C" w:rsidP="00346826">
      <w:pPr>
        <w:pStyle w:val="ListParagraph"/>
        <w:numPr>
          <w:ilvl w:val="0"/>
          <w:numId w:val="24"/>
        </w:numPr>
        <w:spacing w:before="120" w:after="240"/>
        <w:ind w:left="851" w:hanging="284"/>
      </w:pPr>
      <w:r w:rsidRPr="00964F58">
        <w:t>loss of charity funds, for example when a charity loses more than 20% of its income or more than £25,000</w:t>
      </w:r>
    </w:p>
    <w:p w14:paraId="273743B1" w14:textId="29C15FE1" w:rsidR="0082700C" w:rsidRPr="00964F58" w:rsidRDefault="0082700C" w:rsidP="00346826">
      <w:pPr>
        <w:pStyle w:val="ListParagraph"/>
        <w:numPr>
          <w:ilvl w:val="0"/>
          <w:numId w:val="24"/>
        </w:numPr>
        <w:spacing w:before="120" w:after="240"/>
        <w:ind w:left="851" w:hanging="284"/>
      </w:pPr>
      <w:r w:rsidRPr="00964F58">
        <w:t>if the charity does not meet its legal obligations, for example if someone uses a charity for significant personal advantage</w:t>
      </w:r>
    </w:p>
    <w:p w14:paraId="0E2C93C7" w14:textId="77777777" w:rsidR="0082700C" w:rsidRPr="00964F58" w:rsidRDefault="0082700C" w:rsidP="00346826">
      <w:pPr>
        <w:spacing w:before="120" w:after="240"/>
        <w:ind w:left="207"/>
        <w:rPr>
          <w:b/>
          <w:bCs/>
        </w:rPr>
      </w:pPr>
      <w:r w:rsidRPr="00964F58">
        <w:rPr>
          <w:b/>
          <w:bCs/>
        </w:rPr>
        <w:lastRenderedPageBreak/>
        <w:t>Who else to tell</w:t>
      </w:r>
    </w:p>
    <w:p w14:paraId="5F2DEECA" w14:textId="314BECC5" w:rsidR="0082700C" w:rsidRPr="00964F58" w:rsidRDefault="0082700C" w:rsidP="00346826">
      <w:pPr>
        <w:pStyle w:val="ListParagraph"/>
        <w:numPr>
          <w:ilvl w:val="0"/>
          <w:numId w:val="24"/>
        </w:numPr>
        <w:spacing w:before="120" w:after="240"/>
        <w:ind w:left="851" w:hanging="284"/>
      </w:pPr>
      <w:r w:rsidRPr="00964F58">
        <w:t>the police about a crime or if you’re worried someone’s safety</w:t>
      </w:r>
    </w:p>
    <w:p w14:paraId="002EAFC0" w14:textId="058560FF" w:rsidR="0082700C" w:rsidRPr="00964F58" w:rsidRDefault="0082700C" w:rsidP="00346826">
      <w:pPr>
        <w:pStyle w:val="ListParagraph"/>
        <w:numPr>
          <w:ilvl w:val="0"/>
          <w:numId w:val="24"/>
        </w:numPr>
        <w:spacing w:before="120" w:after="240"/>
        <w:ind w:left="851" w:hanging="284"/>
      </w:pPr>
      <w:r w:rsidRPr="00964F58">
        <w:t>HMRC if you have concerns about tax, like money laundering or tax evasion</w:t>
      </w:r>
    </w:p>
    <w:p w14:paraId="1A190F9A" w14:textId="271B1E65" w:rsidR="0082700C" w:rsidRPr="00964F58" w:rsidRDefault="0082700C" w:rsidP="00346826">
      <w:pPr>
        <w:pStyle w:val="ListParagraph"/>
        <w:numPr>
          <w:ilvl w:val="0"/>
          <w:numId w:val="24"/>
        </w:numPr>
        <w:spacing w:before="120" w:after="240"/>
        <w:ind w:left="851" w:hanging="284"/>
      </w:pPr>
      <w:r w:rsidRPr="00964F58">
        <w:t>Action Fraud if you suspect fraud</w:t>
      </w:r>
    </w:p>
    <w:p w14:paraId="4E7838EC" w14:textId="77757032" w:rsidR="0082700C" w:rsidRPr="00964F58" w:rsidRDefault="0082700C" w:rsidP="00346826">
      <w:pPr>
        <w:pStyle w:val="ListParagraph"/>
        <w:numPr>
          <w:ilvl w:val="0"/>
          <w:numId w:val="24"/>
        </w:numPr>
        <w:spacing w:before="120" w:after="240"/>
        <w:ind w:left="851" w:hanging="284"/>
      </w:pPr>
      <w:r w:rsidRPr="00964F58">
        <w:t>the police if you suspect terrorist activity</w:t>
      </w:r>
    </w:p>
    <w:p w14:paraId="22ED0E96" w14:textId="77777777" w:rsidR="0082700C" w:rsidRPr="00964F58" w:rsidRDefault="0082700C" w:rsidP="00346826">
      <w:pPr>
        <w:spacing w:before="120" w:after="240"/>
        <w:rPr>
          <w:rFonts w:cstheme="minorHAnsi"/>
          <w:b/>
          <w:bCs/>
        </w:rPr>
      </w:pPr>
      <w:r w:rsidRPr="00964F58">
        <w:rPr>
          <w:rFonts w:cstheme="minorHAnsi"/>
          <w:b/>
          <w:bCs/>
        </w:rPr>
        <w:t>Dealing with Concerns</w:t>
      </w:r>
    </w:p>
    <w:p w14:paraId="145EED44" w14:textId="77777777" w:rsidR="0082700C" w:rsidRPr="0082700C" w:rsidRDefault="0082700C" w:rsidP="00346826">
      <w:pPr>
        <w:spacing w:before="120" w:after="240"/>
        <w:rPr>
          <w:rFonts w:cstheme="minorHAnsi"/>
        </w:rPr>
      </w:pPr>
      <w:r w:rsidRPr="0082700C">
        <w:rPr>
          <w:rFonts w:cstheme="minorHAnsi"/>
        </w:rPr>
        <w:t>All concerns will be investigated carefully and thoroughly.  If appropriate, results of investigations and any action that is proposed will be passed on to the person expressing the initial concern.  However, confidentiality needs to be maintained at all times.</w:t>
      </w:r>
    </w:p>
    <w:p w14:paraId="3DCC2A3F" w14:textId="77777777" w:rsidR="0082700C" w:rsidRPr="0082700C" w:rsidRDefault="0082700C" w:rsidP="00346826">
      <w:pPr>
        <w:spacing w:before="120" w:after="240"/>
        <w:rPr>
          <w:rFonts w:cstheme="minorHAnsi"/>
        </w:rPr>
      </w:pPr>
      <w:r w:rsidRPr="0082700C">
        <w:rPr>
          <w:rFonts w:cstheme="minorHAnsi"/>
        </w:rPr>
        <w:t>If it is found that malicious, unfounded allegations have been made this will be dealt with under the disciplinary procedure.</w:t>
      </w:r>
    </w:p>
    <w:p w14:paraId="5BB9D841" w14:textId="77777777" w:rsidR="0082700C" w:rsidRPr="0082700C" w:rsidRDefault="0082700C" w:rsidP="00346826">
      <w:pPr>
        <w:shd w:val="clear" w:color="auto" w:fill="E2EFD9" w:themeFill="accent6" w:themeFillTint="33"/>
        <w:spacing w:before="120" w:after="240" w:line="360" w:lineRule="auto"/>
        <w:rPr>
          <w:rFonts w:cstheme="minorHAnsi"/>
          <w:b/>
          <w:bCs/>
        </w:rPr>
      </w:pPr>
      <w:r w:rsidRPr="0082700C">
        <w:rPr>
          <w:rFonts w:cstheme="minorHAnsi"/>
          <w:b/>
          <w:bCs/>
        </w:rPr>
        <w:t>5. Revision history</w:t>
      </w:r>
    </w:p>
    <w:p w14:paraId="327814C4" w14:textId="0B70810C" w:rsidR="0082700C" w:rsidRDefault="0082700C" w:rsidP="00346826">
      <w:pPr>
        <w:spacing w:before="120" w:after="240"/>
        <w:rPr>
          <w:rFonts w:cstheme="minorHAnsi"/>
        </w:rPr>
      </w:pPr>
      <w:r w:rsidRPr="0082700C">
        <w:rPr>
          <w:rFonts w:cstheme="minorHAnsi"/>
        </w:rPr>
        <w:t xml:space="preserve">The </w:t>
      </w:r>
      <w:r w:rsidR="0033595B" w:rsidRPr="0082700C">
        <w:rPr>
          <w:rFonts w:cstheme="minorHAnsi"/>
        </w:rPr>
        <w:t>Chairperson</w:t>
      </w:r>
      <w:r w:rsidRPr="0082700C">
        <w:rPr>
          <w:rFonts w:cstheme="minorHAnsi"/>
        </w:rPr>
        <w:t xml:space="preserve"> will review this policy every three years.</w:t>
      </w:r>
    </w:p>
    <w:tbl>
      <w:tblPr>
        <w:tblStyle w:val="TableGrid"/>
        <w:tblW w:w="0" w:type="auto"/>
        <w:tblLook w:val="04A0" w:firstRow="1" w:lastRow="0" w:firstColumn="1" w:lastColumn="0" w:noHBand="0" w:noVBand="1"/>
      </w:tblPr>
      <w:tblGrid>
        <w:gridCol w:w="3005"/>
        <w:gridCol w:w="3005"/>
        <w:gridCol w:w="3006"/>
      </w:tblGrid>
      <w:tr w:rsidR="00964F58" w:rsidRPr="00964F58" w14:paraId="7085D9DD" w14:textId="77777777" w:rsidTr="00964F58">
        <w:tc>
          <w:tcPr>
            <w:tcW w:w="3005" w:type="dxa"/>
          </w:tcPr>
          <w:p w14:paraId="00A1323F" w14:textId="29B205CD" w:rsidR="00964F58" w:rsidRPr="00964F58" w:rsidRDefault="00964F58" w:rsidP="00964F58">
            <w:pPr>
              <w:spacing w:after="120"/>
              <w:jc w:val="center"/>
              <w:rPr>
                <w:rFonts w:cstheme="minorHAnsi"/>
                <w:b/>
                <w:bCs/>
              </w:rPr>
            </w:pPr>
            <w:r w:rsidRPr="00964F58">
              <w:rPr>
                <w:rFonts w:cstheme="minorHAnsi"/>
                <w:b/>
                <w:bCs/>
              </w:rPr>
              <w:t>Date approved or amended</w:t>
            </w:r>
          </w:p>
        </w:tc>
        <w:tc>
          <w:tcPr>
            <w:tcW w:w="3005" w:type="dxa"/>
          </w:tcPr>
          <w:p w14:paraId="43113E41" w14:textId="2CFC01F3" w:rsidR="00964F58" w:rsidRPr="00964F58" w:rsidRDefault="00964F58" w:rsidP="00964F58">
            <w:pPr>
              <w:spacing w:after="120"/>
              <w:jc w:val="center"/>
              <w:rPr>
                <w:rFonts w:cstheme="minorHAnsi"/>
                <w:b/>
                <w:bCs/>
              </w:rPr>
            </w:pPr>
            <w:r w:rsidRPr="00964F58">
              <w:rPr>
                <w:rFonts w:cstheme="minorHAnsi"/>
                <w:b/>
                <w:bCs/>
              </w:rPr>
              <w:t>Signed</w:t>
            </w:r>
          </w:p>
        </w:tc>
        <w:tc>
          <w:tcPr>
            <w:tcW w:w="3006" w:type="dxa"/>
          </w:tcPr>
          <w:p w14:paraId="078E1344" w14:textId="094BDDDB" w:rsidR="00964F58" w:rsidRPr="00964F58" w:rsidRDefault="00964F58" w:rsidP="00964F58">
            <w:pPr>
              <w:spacing w:after="120"/>
              <w:jc w:val="center"/>
              <w:rPr>
                <w:rFonts w:cstheme="minorHAnsi"/>
                <w:b/>
                <w:bCs/>
              </w:rPr>
            </w:pPr>
            <w:r w:rsidRPr="00964F58">
              <w:rPr>
                <w:rFonts w:cstheme="minorHAnsi"/>
                <w:b/>
                <w:bCs/>
              </w:rPr>
              <w:t>Role</w:t>
            </w:r>
          </w:p>
        </w:tc>
      </w:tr>
      <w:tr w:rsidR="00964F58" w14:paraId="0EC0695C" w14:textId="77777777" w:rsidTr="00964F58">
        <w:tc>
          <w:tcPr>
            <w:tcW w:w="3005" w:type="dxa"/>
          </w:tcPr>
          <w:p w14:paraId="5A03DC09" w14:textId="57DB04DF" w:rsidR="00964F58" w:rsidRDefault="00964F58" w:rsidP="00964F58">
            <w:pPr>
              <w:spacing w:after="120"/>
              <w:jc w:val="center"/>
              <w:rPr>
                <w:rFonts w:cstheme="minorHAnsi"/>
              </w:rPr>
            </w:pPr>
            <w:r w:rsidRPr="0082700C">
              <w:rPr>
                <w:rFonts w:cstheme="minorHAnsi"/>
              </w:rPr>
              <w:t>31/3/2023</w:t>
            </w:r>
          </w:p>
        </w:tc>
        <w:tc>
          <w:tcPr>
            <w:tcW w:w="3005" w:type="dxa"/>
          </w:tcPr>
          <w:p w14:paraId="611D1CB6" w14:textId="20E8F38F" w:rsidR="00964F58" w:rsidRDefault="00964F58" w:rsidP="00964F58">
            <w:pPr>
              <w:spacing w:after="120"/>
              <w:jc w:val="center"/>
              <w:rPr>
                <w:rFonts w:cstheme="minorHAnsi"/>
              </w:rPr>
            </w:pPr>
            <w:r w:rsidRPr="0082700C">
              <w:rPr>
                <w:rFonts w:cstheme="minorHAnsi"/>
              </w:rPr>
              <w:t>Dr Minaz Mazi-Kotwal</w:t>
            </w:r>
          </w:p>
        </w:tc>
        <w:tc>
          <w:tcPr>
            <w:tcW w:w="3006" w:type="dxa"/>
          </w:tcPr>
          <w:p w14:paraId="34E34AFC" w14:textId="7613678C" w:rsidR="00964F58" w:rsidRDefault="00964F58" w:rsidP="00964F58">
            <w:pPr>
              <w:spacing w:after="120"/>
              <w:jc w:val="center"/>
              <w:rPr>
                <w:rFonts w:cstheme="minorHAnsi"/>
              </w:rPr>
            </w:pPr>
            <w:r w:rsidRPr="0082700C">
              <w:rPr>
                <w:rFonts w:cstheme="minorHAnsi"/>
              </w:rPr>
              <w:t>Chairperson</w:t>
            </w:r>
          </w:p>
        </w:tc>
      </w:tr>
    </w:tbl>
    <w:p w14:paraId="35297F6F" w14:textId="77777777" w:rsidR="00964F58" w:rsidRDefault="00964F58" w:rsidP="0082700C">
      <w:pPr>
        <w:spacing w:after="120"/>
        <w:rPr>
          <w:rFonts w:cstheme="minorHAnsi"/>
        </w:rPr>
      </w:pPr>
    </w:p>
    <w:p w14:paraId="76945F69" w14:textId="77777777" w:rsidR="00964F58" w:rsidRPr="0082700C" w:rsidRDefault="00964F58" w:rsidP="0082700C">
      <w:pPr>
        <w:spacing w:after="120"/>
        <w:rPr>
          <w:rFonts w:cstheme="minorHAnsi"/>
        </w:rPr>
      </w:pPr>
    </w:p>
    <w:p w14:paraId="43C166A4" w14:textId="128812F4" w:rsidR="0082700C" w:rsidRPr="0082700C" w:rsidRDefault="0082700C" w:rsidP="0082700C">
      <w:pPr>
        <w:spacing w:after="120"/>
        <w:rPr>
          <w:rFonts w:cstheme="minorHAnsi"/>
        </w:rPr>
      </w:pPr>
      <w:r w:rsidRPr="0082700C">
        <w:rPr>
          <w:rFonts w:cstheme="minorHAnsi"/>
        </w:rPr>
        <w:tab/>
      </w:r>
      <w:r w:rsidRPr="0082700C">
        <w:rPr>
          <w:rFonts w:cstheme="minorHAnsi"/>
        </w:rPr>
        <w:tab/>
      </w:r>
    </w:p>
    <w:p w14:paraId="6D8B6755" w14:textId="77777777" w:rsidR="0082700C" w:rsidRPr="0082700C" w:rsidRDefault="0082700C" w:rsidP="0082700C">
      <w:pPr>
        <w:spacing w:after="120"/>
        <w:rPr>
          <w:rFonts w:cstheme="minorHAnsi"/>
        </w:rPr>
      </w:pPr>
    </w:p>
    <w:p w14:paraId="18082C34" w14:textId="5CA2426C" w:rsidR="0082700C" w:rsidRDefault="0082700C" w:rsidP="0082700C">
      <w:pPr>
        <w:spacing w:after="120"/>
        <w:rPr>
          <w:rFonts w:cstheme="minorHAnsi"/>
        </w:rPr>
      </w:pPr>
      <w:r w:rsidRPr="0082700C">
        <w:rPr>
          <w:rFonts w:cstheme="minorHAnsi"/>
        </w:rPr>
        <w:tab/>
      </w:r>
      <w:r w:rsidRPr="0082700C">
        <w:rPr>
          <w:rFonts w:cstheme="minorHAnsi"/>
        </w:rPr>
        <w:tab/>
      </w:r>
    </w:p>
    <w:p w14:paraId="17FCFE17" w14:textId="77777777" w:rsidR="0082700C" w:rsidRDefault="0082700C" w:rsidP="0082700C">
      <w:pPr>
        <w:spacing w:after="120"/>
        <w:rPr>
          <w:rFonts w:cstheme="minorHAnsi"/>
        </w:rPr>
      </w:pPr>
    </w:p>
    <w:p w14:paraId="760A8C87" w14:textId="77777777" w:rsidR="0082700C" w:rsidRPr="0082700C" w:rsidRDefault="0082700C" w:rsidP="0082700C">
      <w:pPr>
        <w:spacing w:after="120"/>
        <w:rPr>
          <w:rFonts w:cstheme="minorHAnsi"/>
        </w:rPr>
      </w:pPr>
    </w:p>
    <w:sectPr w:rsidR="0082700C" w:rsidRPr="0082700C" w:rsidSect="0082700C">
      <w:headerReference w:type="default" r:id="rId7"/>
      <w:footerReference w:type="default" r:id="rId8"/>
      <w:pgSz w:w="11906" w:h="16838"/>
      <w:pgMar w:top="284"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21A10" w14:textId="77777777" w:rsidR="00AD71A6" w:rsidRDefault="00AD71A6" w:rsidP="003D57A9">
      <w:pPr>
        <w:spacing w:after="0" w:line="240" w:lineRule="auto"/>
      </w:pPr>
      <w:r>
        <w:separator/>
      </w:r>
    </w:p>
  </w:endnote>
  <w:endnote w:type="continuationSeparator" w:id="0">
    <w:p w14:paraId="30D1478A" w14:textId="77777777" w:rsidR="00AD71A6" w:rsidRDefault="00AD71A6" w:rsidP="003D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8103" w14:textId="74D3EE85" w:rsidR="00346826" w:rsidRDefault="00346826" w:rsidP="00346826">
    <w:pPr>
      <w:pStyle w:val="Footer"/>
      <w:pBdr>
        <w:top w:val="single" w:sz="4" w:space="1" w:color="D9D9D9" w:themeColor="background1" w:themeShade="D9"/>
      </w:pBdr>
    </w:pPr>
    <w:r>
      <w:t>Ethnic Food Bank – Whistleblowing Policy</w:t>
    </w:r>
    <w:r>
      <w:tab/>
    </w:r>
    <w:r>
      <w:tab/>
      <w:t xml:space="preserve"> Page </w:t>
    </w:r>
    <w:sdt>
      <w:sdtPr>
        <w:id w:val="-137246287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of 3</w:t>
        </w:r>
      </w:sdtContent>
    </w:sdt>
  </w:p>
  <w:p w14:paraId="0A5C0CB9" w14:textId="257A50A5" w:rsidR="00346826" w:rsidRDefault="00346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4F8F" w14:textId="77777777" w:rsidR="00AD71A6" w:rsidRDefault="00AD71A6" w:rsidP="003D57A9">
      <w:pPr>
        <w:spacing w:after="0" w:line="240" w:lineRule="auto"/>
      </w:pPr>
      <w:r>
        <w:separator/>
      </w:r>
    </w:p>
  </w:footnote>
  <w:footnote w:type="continuationSeparator" w:id="0">
    <w:p w14:paraId="76304C7D" w14:textId="77777777" w:rsidR="00AD71A6" w:rsidRDefault="00AD71A6" w:rsidP="003D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64F58" w:rsidRPr="00964F58" w14:paraId="4137C2BA" w14:textId="77777777" w:rsidTr="00964F58">
      <w:tc>
        <w:tcPr>
          <w:tcW w:w="4508" w:type="dxa"/>
        </w:tcPr>
        <w:p w14:paraId="106AC553" w14:textId="77777777" w:rsidR="00964F58" w:rsidRPr="00964F58" w:rsidRDefault="00964F58" w:rsidP="00964F58">
          <w:pPr>
            <w:rPr>
              <w:b/>
              <w:bCs/>
              <w:i/>
              <w:iCs/>
              <w:color w:val="B9AD8C"/>
            </w:rPr>
          </w:pPr>
          <w:r w:rsidRPr="00964F58">
            <w:rPr>
              <w:noProof/>
            </w:rPr>
            <w:drawing>
              <wp:inline distT="0" distB="0" distL="0" distR="0" wp14:anchorId="13361DE8" wp14:editId="1E2619EF">
                <wp:extent cx="1580954" cy="586625"/>
                <wp:effectExtent l="0" t="0" r="635" b="4445"/>
                <wp:docPr id="1788438542" name="Picture 178843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6868" cy="622215"/>
                        </a:xfrm>
                        <a:prstGeom prst="rect">
                          <a:avLst/>
                        </a:prstGeom>
                      </pic:spPr>
                    </pic:pic>
                  </a:graphicData>
                </a:graphic>
              </wp:inline>
            </w:drawing>
          </w:r>
          <w:r w:rsidRPr="00964F58">
            <w:rPr>
              <w:b/>
              <w:bCs/>
              <w:i/>
              <w:iCs/>
              <w:color w:val="B9AD8C"/>
            </w:rPr>
            <w:t xml:space="preserve">     </w:t>
          </w:r>
          <w:r w:rsidRPr="00964F58">
            <w:rPr>
              <w:b/>
              <w:bCs/>
              <w:color w:val="B9AD8C"/>
              <w:spacing w:val="8"/>
            </w:rPr>
            <w:t>www.ethnicfoodbank.org</w:t>
          </w:r>
        </w:p>
      </w:tc>
      <w:tc>
        <w:tcPr>
          <w:tcW w:w="4508" w:type="dxa"/>
        </w:tcPr>
        <w:p w14:paraId="6B20C329" w14:textId="77777777" w:rsidR="00964F58" w:rsidRPr="00964F58" w:rsidRDefault="00964F58" w:rsidP="00964F58">
          <w:pPr>
            <w:jc w:val="right"/>
            <w:rPr>
              <w:sz w:val="24"/>
              <w:szCs w:val="24"/>
            </w:rPr>
          </w:pPr>
          <w:r w:rsidRPr="00964F58">
            <w:rPr>
              <w:b/>
              <w:bCs/>
              <w:color w:val="8EC840"/>
              <w:sz w:val="24"/>
              <w:szCs w:val="24"/>
            </w:rPr>
            <w:t xml:space="preserve">ethnic </w:t>
          </w:r>
          <w:r w:rsidRPr="00964F58">
            <w:rPr>
              <w:b/>
              <w:bCs/>
              <w:color w:val="FFAE00"/>
              <w:sz w:val="24"/>
              <w:szCs w:val="24"/>
            </w:rPr>
            <w:t>food bank</w:t>
          </w:r>
        </w:p>
        <w:p w14:paraId="62EBFD12" w14:textId="77777777" w:rsidR="00964F58" w:rsidRPr="00964F58" w:rsidRDefault="00964F58" w:rsidP="00964F58">
          <w:pPr>
            <w:jc w:val="right"/>
          </w:pPr>
          <w:r w:rsidRPr="00964F58">
            <w:t xml:space="preserve"> Westbourne Community Centre</w:t>
          </w:r>
        </w:p>
        <w:p w14:paraId="12587B13" w14:textId="77777777" w:rsidR="00964F58" w:rsidRPr="00964F58" w:rsidRDefault="00964F58" w:rsidP="00964F58">
          <w:pPr>
            <w:jc w:val="right"/>
          </w:pPr>
          <w:r w:rsidRPr="00964F58">
            <w:t xml:space="preserve"> Westbourne Road</w:t>
          </w:r>
        </w:p>
        <w:p w14:paraId="67765214" w14:textId="77777777" w:rsidR="00964F58" w:rsidRPr="00964F58" w:rsidRDefault="00964F58" w:rsidP="00964F58">
          <w:pPr>
            <w:jc w:val="right"/>
          </w:pPr>
          <w:r w:rsidRPr="00964F58">
            <w:t xml:space="preserve"> Bedford MK40 1LD</w:t>
          </w:r>
        </w:p>
      </w:tc>
    </w:tr>
  </w:tbl>
  <w:p w14:paraId="5AD57744" w14:textId="77777777" w:rsidR="00964F58" w:rsidRPr="00964F58" w:rsidRDefault="00964F58" w:rsidP="00B60108">
    <w:pPr>
      <w:pStyle w:val="Header"/>
      <w:shd w:val="clear" w:color="auto" w:fill="B9AD8C"/>
      <w:rPr>
        <w:sz w:val="8"/>
        <w:szCs w:val="8"/>
      </w:rPr>
    </w:pPr>
  </w:p>
  <w:p w14:paraId="1A79C831" w14:textId="77777777" w:rsidR="00964F58" w:rsidRPr="00964F58" w:rsidRDefault="00964F58" w:rsidP="00964F5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1C7"/>
    <w:multiLevelType w:val="hybridMultilevel"/>
    <w:tmpl w:val="A5AE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94340"/>
    <w:multiLevelType w:val="hybridMultilevel"/>
    <w:tmpl w:val="668E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E113C"/>
    <w:multiLevelType w:val="hybridMultilevel"/>
    <w:tmpl w:val="0FC0783A"/>
    <w:lvl w:ilvl="0" w:tplc="8ACC1B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04017"/>
    <w:multiLevelType w:val="hybridMultilevel"/>
    <w:tmpl w:val="EAC8C38A"/>
    <w:lvl w:ilvl="0" w:tplc="3A961024">
      <w:numFmt w:val="bullet"/>
      <w:lvlText w:val="•"/>
      <w:lvlJc w:val="left"/>
      <w:pPr>
        <w:ind w:left="1287" w:hanging="72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9165A84"/>
    <w:multiLevelType w:val="hybridMultilevel"/>
    <w:tmpl w:val="A2B0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018EE"/>
    <w:multiLevelType w:val="hybridMultilevel"/>
    <w:tmpl w:val="0D5E430C"/>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771B3"/>
    <w:multiLevelType w:val="hybridMultilevel"/>
    <w:tmpl w:val="5346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01D79"/>
    <w:multiLevelType w:val="hybridMultilevel"/>
    <w:tmpl w:val="AF58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C828EE"/>
    <w:multiLevelType w:val="hybridMultilevel"/>
    <w:tmpl w:val="B8C0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666BB"/>
    <w:multiLevelType w:val="hybridMultilevel"/>
    <w:tmpl w:val="E4E4B3E8"/>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82565"/>
    <w:multiLevelType w:val="hybridMultilevel"/>
    <w:tmpl w:val="0F98BDDA"/>
    <w:lvl w:ilvl="0" w:tplc="BC42AB7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A6542"/>
    <w:multiLevelType w:val="hybridMultilevel"/>
    <w:tmpl w:val="E200B5CE"/>
    <w:lvl w:ilvl="0" w:tplc="3A9610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F14DC"/>
    <w:multiLevelType w:val="hybridMultilevel"/>
    <w:tmpl w:val="BEB6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77B47"/>
    <w:multiLevelType w:val="hybridMultilevel"/>
    <w:tmpl w:val="62AE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B3DF5"/>
    <w:multiLevelType w:val="hybridMultilevel"/>
    <w:tmpl w:val="58E84418"/>
    <w:lvl w:ilvl="0" w:tplc="3A9610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F4719"/>
    <w:multiLevelType w:val="hybridMultilevel"/>
    <w:tmpl w:val="7B3ABEFE"/>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50B59"/>
    <w:multiLevelType w:val="hybridMultilevel"/>
    <w:tmpl w:val="11D0DE80"/>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D074D"/>
    <w:multiLevelType w:val="hybridMultilevel"/>
    <w:tmpl w:val="6AC692DA"/>
    <w:lvl w:ilvl="0" w:tplc="3A961024">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D3327E"/>
    <w:multiLevelType w:val="hybridMultilevel"/>
    <w:tmpl w:val="02F23EE2"/>
    <w:lvl w:ilvl="0" w:tplc="F69C6E9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747F4F"/>
    <w:multiLevelType w:val="hybridMultilevel"/>
    <w:tmpl w:val="AE3826C4"/>
    <w:lvl w:ilvl="0" w:tplc="3A9610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67931"/>
    <w:multiLevelType w:val="hybridMultilevel"/>
    <w:tmpl w:val="43F2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5973E5"/>
    <w:multiLevelType w:val="hybridMultilevel"/>
    <w:tmpl w:val="B6DCCED0"/>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ED6976"/>
    <w:multiLevelType w:val="hybridMultilevel"/>
    <w:tmpl w:val="297A7AE8"/>
    <w:lvl w:ilvl="0" w:tplc="8ACC1B1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D10419"/>
    <w:multiLevelType w:val="hybridMultilevel"/>
    <w:tmpl w:val="67EEAF94"/>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12E3C"/>
    <w:multiLevelType w:val="hybridMultilevel"/>
    <w:tmpl w:val="ECB09E20"/>
    <w:lvl w:ilvl="0" w:tplc="8ACC1B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454FC"/>
    <w:multiLevelType w:val="hybridMultilevel"/>
    <w:tmpl w:val="FF74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0C0FD2"/>
    <w:multiLevelType w:val="hybridMultilevel"/>
    <w:tmpl w:val="24EA6D36"/>
    <w:lvl w:ilvl="0" w:tplc="BC42AB7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818622">
    <w:abstractNumId w:val="12"/>
  </w:num>
  <w:num w:numId="2" w16cid:durableId="723598032">
    <w:abstractNumId w:val="23"/>
  </w:num>
  <w:num w:numId="3" w16cid:durableId="1802723896">
    <w:abstractNumId w:val="15"/>
  </w:num>
  <w:num w:numId="4" w16cid:durableId="1880170273">
    <w:abstractNumId w:val="16"/>
  </w:num>
  <w:num w:numId="5" w16cid:durableId="1204517279">
    <w:abstractNumId w:val="5"/>
  </w:num>
  <w:num w:numId="6" w16cid:durableId="1582837911">
    <w:abstractNumId w:val="9"/>
  </w:num>
  <w:num w:numId="7" w16cid:durableId="2052653138">
    <w:abstractNumId w:val="21"/>
  </w:num>
  <w:num w:numId="8" w16cid:durableId="872959446">
    <w:abstractNumId w:val="2"/>
  </w:num>
  <w:num w:numId="9" w16cid:durableId="1863783321">
    <w:abstractNumId w:val="22"/>
  </w:num>
  <w:num w:numId="10" w16cid:durableId="1823961695">
    <w:abstractNumId w:val="24"/>
  </w:num>
  <w:num w:numId="11" w16cid:durableId="959068069">
    <w:abstractNumId w:val="18"/>
  </w:num>
  <w:num w:numId="12" w16cid:durableId="296255467">
    <w:abstractNumId w:val="4"/>
  </w:num>
  <w:num w:numId="13" w16cid:durableId="392048631">
    <w:abstractNumId w:val="10"/>
  </w:num>
  <w:num w:numId="14" w16cid:durableId="1196389496">
    <w:abstractNumId w:val="26"/>
  </w:num>
  <w:num w:numId="15" w16cid:durableId="425542294">
    <w:abstractNumId w:val="7"/>
  </w:num>
  <w:num w:numId="16" w16cid:durableId="843325513">
    <w:abstractNumId w:val="8"/>
  </w:num>
  <w:num w:numId="17" w16cid:durableId="2081443381">
    <w:abstractNumId w:val="0"/>
  </w:num>
  <w:num w:numId="18" w16cid:durableId="1593394967">
    <w:abstractNumId w:val="25"/>
  </w:num>
  <w:num w:numId="19" w16cid:durableId="1451900132">
    <w:abstractNumId w:val="6"/>
  </w:num>
  <w:num w:numId="20" w16cid:durableId="419758094">
    <w:abstractNumId w:val="13"/>
  </w:num>
  <w:num w:numId="21" w16cid:durableId="1683966497">
    <w:abstractNumId w:val="1"/>
  </w:num>
  <w:num w:numId="22" w16cid:durableId="817308770">
    <w:abstractNumId w:val="20"/>
  </w:num>
  <w:num w:numId="23" w16cid:durableId="1295910058">
    <w:abstractNumId w:val="19"/>
  </w:num>
  <w:num w:numId="24" w16cid:durableId="350181110">
    <w:abstractNumId w:val="17"/>
  </w:num>
  <w:num w:numId="25" w16cid:durableId="778334819">
    <w:abstractNumId w:val="3"/>
  </w:num>
  <w:num w:numId="26" w16cid:durableId="1266420648">
    <w:abstractNumId w:val="14"/>
  </w:num>
  <w:num w:numId="27" w16cid:durableId="1847793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3C6EAB4-3859-4909-A079-699DB1C0683F}"/>
    <w:docVar w:name="dgnword-eventsink" w:val="403484208"/>
  </w:docVars>
  <w:rsids>
    <w:rsidRoot w:val="003D57A9"/>
    <w:rsid w:val="000B1E8A"/>
    <w:rsid w:val="000B3C00"/>
    <w:rsid w:val="000C5833"/>
    <w:rsid w:val="000C692F"/>
    <w:rsid w:val="000F098F"/>
    <w:rsid w:val="001C514A"/>
    <w:rsid w:val="00294965"/>
    <w:rsid w:val="0033595B"/>
    <w:rsid w:val="00340900"/>
    <w:rsid w:val="00346826"/>
    <w:rsid w:val="00385C8D"/>
    <w:rsid w:val="003871F2"/>
    <w:rsid w:val="003D57A9"/>
    <w:rsid w:val="004D1519"/>
    <w:rsid w:val="00504B08"/>
    <w:rsid w:val="00704DE0"/>
    <w:rsid w:val="007B2C2C"/>
    <w:rsid w:val="0082700C"/>
    <w:rsid w:val="00827F1C"/>
    <w:rsid w:val="0083349A"/>
    <w:rsid w:val="00964F58"/>
    <w:rsid w:val="00A60DE8"/>
    <w:rsid w:val="00A83F9A"/>
    <w:rsid w:val="00AD71A6"/>
    <w:rsid w:val="00B007F3"/>
    <w:rsid w:val="00B24A14"/>
    <w:rsid w:val="00B60108"/>
    <w:rsid w:val="00C00EE6"/>
    <w:rsid w:val="00C24375"/>
    <w:rsid w:val="00C85958"/>
    <w:rsid w:val="00CB5280"/>
    <w:rsid w:val="00D5210C"/>
    <w:rsid w:val="00DA43DE"/>
    <w:rsid w:val="00E75581"/>
    <w:rsid w:val="00EB2014"/>
    <w:rsid w:val="00ED6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89344"/>
  <w15:chartTrackingRefBased/>
  <w15:docId w15:val="{905BA0C1-24EE-441E-AB62-8A1F204C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7A9"/>
  </w:style>
  <w:style w:type="paragraph" w:styleId="Footer">
    <w:name w:val="footer"/>
    <w:basedOn w:val="Normal"/>
    <w:link w:val="FooterChar"/>
    <w:uiPriority w:val="99"/>
    <w:unhideWhenUsed/>
    <w:rsid w:val="003D5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7A9"/>
  </w:style>
  <w:style w:type="table" w:styleId="TableGrid">
    <w:name w:val="Table Grid"/>
    <w:basedOn w:val="TableNormal"/>
    <w:uiPriority w:val="39"/>
    <w:rsid w:val="003D5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DE0"/>
    <w:pPr>
      <w:ind w:left="720"/>
      <w:contextualSpacing/>
    </w:pPr>
  </w:style>
  <w:style w:type="character" w:styleId="Hyperlink">
    <w:name w:val="Hyperlink"/>
    <w:basedOn w:val="DefaultParagraphFont"/>
    <w:uiPriority w:val="99"/>
    <w:unhideWhenUsed/>
    <w:rsid w:val="000C5833"/>
    <w:rPr>
      <w:color w:val="0563C1" w:themeColor="hyperlink"/>
      <w:u w:val="single"/>
    </w:rPr>
  </w:style>
  <w:style w:type="character" w:styleId="UnresolvedMention">
    <w:name w:val="Unresolved Mention"/>
    <w:basedOn w:val="DefaultParagraphFont"/>
    <w:uiPriority w:val="99"/>
    <w:semiHidden/>
    <w:unhideWhenUsed/>
    <w:rsid w:val="000C5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Nadeem Kotwal</dc:creator>
  <cp:keywords/>
  <dc:description/>
  <cp:lastModifiedBy>Nadeem Kotwal</cp:lastModifiedBy>
  <cp:revision>4</cp:revision>
  <dcterms:created xsi:type="dcterms:W3CDTF">2023-09-17T19:52:00Z</dcterms:created>
  <dcterms:modified xsi:type="dcterms:W3CDTF">2023-09-17T20:03:00Z</dcterms:modified>
</cp:coreProperties>
</file>